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2°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Guía con nota acumulativa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Tecnología y Ed. Física: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Objeto para amarrar zapatos (traer cartón corrugado 20 x 30 cm y par de cordones).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Matemática: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Prueba  Cap. 6 Tomo 1 “Tablas y gráficos”.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Matemática: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Canto y metalófono “Arriba quemando el sol”.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Orientación: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Formas de resolver conflictos.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Artes: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Traer 1 cilindro de papel higiénico.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Ciencias: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Prueba Tiempo atmosférico y estaciones del año (cap. 4).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Ed. Física: Ev. Gimnasia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icrosoft Yahei" w:cs="Microsoft Yahei" w:eastAsia="Microsoft Yahei" w:hAnsi="Microsoft Yahei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Historia: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Prueba unidad 4 “Vivimos en comunidad”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“Despedida de 8° Básico (Camila Peña / Paola Véliz)”.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Ed. Física: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Ev. participación en clases final.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Lenguaje: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Prueba comprensión de lectura (distintos tipos de textos).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Lenguaje: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Revisión Caligrafix completo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Ciencias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traer un tarro con tapa (hacer un pequeño agujero en el centro de la tapa), piedras para peso y una bombilla.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Matemática: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Prueba “Patrones numéricos y multiplicación”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huvqcd7irn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2°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ORf5Nm4ZakGGdyLvOzm5CxaqA==">CgMxLjAyDWguemh1dnFjZDdpcm44AHIhMXlHcC1Xb1VjVy04WUdaZjVyRWNxT012a0taRjhPakhw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2025-10-20T18:17:00Z</dcterms:created>
  <dc:creator>Hewlett Packard</dc:creator>
</cp:coreProperties>
</file>